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spacing w:after="0"/>
        <w:ind w:left="0" w:firstLine="0"/>
        <w:rPr>
          <w:color w:val="ff40ff"/>
          <w:sz w:val="22"/>
          <w:szCs w:val="22"/>
          <w:u w:color="ff40ff"/>
          <w:lang w:val="en-US"/>
        </w:rPr>
      </w:pPr>
      <w:r>
        <w:rPr>
          <w:sz w:val="22"/>
          <w:szCs w:val="22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371475</wp:posOffset>
            </wp:positionV>
            <wp:extent cx="1228725" cy="1552575"/>
            <wp:effectExtent l="0" t="0" r="0" b="0"/>
            <wp:wrapThrough wrapText="bothSides" distL="152400" distR="152400">
              <wp:wrapPolygon edited="1">
                <wp:start x="8420" y="0"/>
                <wp:lineTo x="13363" y="386"/>
                <wp:lineTo x="17390" y="2186"/>
                <wp:lineTo x="19586" y="4886"/>
                <wp:lineTo x="21051" y="8871"/>
                <wp:lineTo x="21600" y="10414"/>
                <wp:lineTo x="20136" y="11443"/>
                <wp:lineTo x="19403" y="11571"/>
                <wp:lineTo x="19037" y="15043"/>
                <wp:lineTo x="17939" y="15686"/>
                <wp:lineTo x="14278" y="15943"/>
                <wp:lineTo x="12997" y="21471"/>
                <wp:lineTo x="11898" y="21214"/>
                <wp:lineTo x="13363" y="15300"/>
                <wp:lineTo x="13546" y="14914"/>
                <wp:lineTo x="17939" y="14657"/>
                <wp:lineTo x="18488" y="14143"/>
                <wp:lineTo x="18854" y="10800"/>
                <wp:lineTo x="20502" y="10414"/>
                <wp:lineTo x="20136" y="9129"/>
                <wp:lineTo x="19403" y="8357"/>
                <wp:lineTo x="17939" y="4243"/>
                <wp:lineTo x="15742" y="2314"/>
                <wp:lineTo x="12081" y="900"/>
                <wp:lineTo x="7322" y="1029"/>
                <wp:lineTo x="3295" y="2957"/>
                <wp:lineTo x="1464" y="5271"/>
                <wp:lineTo x="1464" y="9771"/>
                <wp:lineTo x="3295" y="11829"/>
                <wp:lineTo x="5492" y="12857"/>
                <wp:lineTo x="12081" y="12729"/>
                <wp:lineTo x="13180" y="11957"/>
                <wp:lineTo x="13180" y="11314"/>
                <wp:lineTo x="5492" y="11057"/>
                <wp:lineTo x="4210" y="10286"/>
                <wp:lineTo x="4393" y="5657"/>
                <wp:lineTo x="6407" y="3986"/>
                <wp:lineTo x="7505" y="3557"/>
                <wp:lineTo x="12447" y="6300"/>
                <wp:lineTo x="7505" y="6171"/>
                <wp:lineTo x="7871" y="10029"/>
                <wp:lineTo x="10434" y="10543"/>
                <wp:lineTo x="13363" y="9386"/>
                <wp:lineTo x="12997" y="6429"/>
                <wp:lineTo x="12447" y="6300"/>
                <wp:lineTo x="7505" y="3557"/>
                <wp:lineTo x="9702" y="2700"/>
                <wp:lineTo x="12631" y="2829"/>
                <wp:lineTo x="13546" y="3471"/>
                <wp:lineTo x="16108" y="4114"/>
                <wp:lineTo x="16475" y="4886"/>
                <wp:lineTo x="16292" y="10414"/>
                <wp:lineTo x="14095" y="11957"/>
                <wp:lineTo x="12997" y="13371"/>
                <wp:lineTo x="4393" y="13371"/>
                <wp:lineTo x="1831" y="12086"/>
                <wp:lineTo x="183" y="9514"/>
                <wp:lineTo x="366" y="5271"/>
                <wp:lineTo x="2563" y="2314"/>
                <wp:lineTo x="6041" y="514"/>
                <wp:lineTo x="842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424242"/>
          <w:sz w:val="32"/>
          <w:szCs w:val="32"/>
          <w:u w:color="424242"/>
          <w:rtl w:val="0"/>
          <w:lang w:val="en-US"/>
        </w:rPr>
        <w:t>Dr Laura Shepherd</w:t>
      </w:r>
    </w:p>
    <w:p>
      <w:pPr>
        <w:pStyle w:val="List Paragraph"/>
        <w:spacing w:after="0"/>
        <w:ind w:left="0" w:firstLine="0"/>
        <w:jc w:val="both"/>
        <w:rPr>
          <w:color w:val="00d3d5"/>
          <w:sz w:val="32"/>
          <w:szCs w:val="32"/>
          <w:u w:color="00d3d5"/>
          <w:lang w:val="en-US"/>
        </w:rPr>
      </w:pPr>
      <w:r>
        <w:rPr>
          <w:rFonts w:ascii="Helvetica" w:hAnsi="Helvetica"/>
          <w:color w:val="424242"/>
          <w:sz w:val="24"/>
          <w:szCs w:val="24"/>
          <w:u w:color="424242"/>
          <w:rtl w:val="0"/>
          <w:lang w:val="en-US"/>
        </w:rPr>
        <w:t>CPsychol.</w:t>
      </w:r>
      <w:r>
        <w:rPr>
          <w:color w:val="00d3d5"/>
          <w:sz w:val="32"/>
          <w:szCs w:val="32"/>
          <w:u w:color="00d3d5"/>
          <w:lang w:val="en-US"/>
        </w:rPr>
        <w:tab/>
      </w:r>
    </w:p>
    <w:p>
      <w:pPr>
        <w:pStyle w:val="Body A A"/>
        <w:rPr>
          <w:color w:val="3ca8a9"/>
          <w:sz w:val="32"/>
          <w:szCs w:val="32"/>
          <w:u w:color="3ca8a9"/>
        </w:rPr>
      </w:pPr>
      <w:r>
        <w:rPr>
          <w:color w:val="3ca8a9"/>
          <w:sz w:val="32"/>
          <w:szCs w:val="32"/>
          <w:u w:color="3ca8a9"/>
          <w:rtl w:val="0"/>
          <w:lang w:val="en-US"/>
        </w:rPr>
        <w:t>Consultant Clinical Psychologist</w:t>
      </w:r>
    </w:p>
    <w:p>
      <w:pPr>
        <w:pStyle w:val="Body A A"/>
        <w:rPr>
          <w:color w:val="424242"/>
          <w:u w:color="424242"/>
        </w:rPr>
      </w:pPr>
      <w:r>
        <w:rPr>
          <w:color w:val="3ca8a9"/>
          <w:sz w:val="32"/>
          <w:szCs w:val="32"/>
          <w:u w:color="3ca8a9"/>
        </w:rPr>
        <w:tab/>
      </w:r>
      <w:r>
        <w:rPr>
          <w:color w:val="424242"/>
          <w:u w:color="424242"/>
          <w:rtl w:val="0"/>
          <w:lang w:val="en-US"/>
        </w:rPr>
        <w:t>Tel: 07841 134211</w:t>
      </w:r>
    </w:p>
    <w:p>
      <w:pPr>
        <w:pStyle w:val="Body A A"/>
      </w:pPr>
      <w:r>
        <w:rPr>
          <w:color w:val="424242"/>
          <w:u w:color="424242"/>
          <w:rtl w:val="0"/>
          <w:lang w:val="en-US"/>
        </w:rPr>
        <w:t xml:space="preserve">            </w:t>
        <w:tab/>
        <w:t xml:space="preserve">  Email: enquiries@laurashepherd-psychologist.co.uk</w:t>
      </w:r>
    </w:p>
    <w:p>
      <w:pPr>
        <w:pStyle w:val="Body A A"/>
        <w:rPr>
          <w:color w:val="424242"/>
          <w:u w:color="424242"/>
        </w:rPr>
      </w:pPr>
      <w:r>
        <w:rPr>
          <w:rtl w:val="0"/>
        </w:rPr>
        <w:tab/>
        <w:t xml:space="preserve">     </w:t>
      </w:r>
      <w:r>
        <w:rPr>
          <w:color w:val="424242"/>
          <w:u w:color="424242"/>
          <w:rtl w:val="0"/>
          <w:lang w:val="en-US"/>
        </w:rPr>
        <w:t xml:space="preserve">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"http://www.laurashepherd-psychologist.co.uk"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www.laurashepherd-psychologist.co.uk</w:t>
      </w:r>
      <w:r>
        <w:rPr/>
        <w:fldChar w:fldCharType="end" w:fldLock="0"/>
      </w:r>
    </w:p>
    <w:p>
      <w:pPr>
        <w:pStyle w:val="Body A A"/>
        <w:rPr>
          <w:color w:val="424242"/>
          <w:u w:color="424242"/>
        </w:rPr>
      </w:pPr>
      <w:r>
        <w:rPr>
          <w:color w:val="424242"/>
          <w:u w:color="424242"/>
          <w:rtl w:val="0"/>
        </w:rPr>
        <w:tab/>
        <w:t>Practicing from: Dronfield Health and Therapy Clinic, 24 High St, Dronfield, S18 1PY</w:t>
      </w:r>
    </w:p>
    <w:p>
      <w:pPr>
        <w:pStyle w:val="Body A A"/>
        <w:rPr>
          <w:color w:val="424242"/>
          <w:u w:color="424242"/>
        </w:rPr>
      </w:pPr>
    </w:p>
    <w:p>
      <w:pPr>
        <w:pStyle w:val="Body A A"/>
        <w:rPr>
          <w:color w:val="424242"/>
          <w:u w:color="424242"/>
        </w:rPr>
      </w:pPr>
    </w:p>
    <w:p>
      <w:pPr>
        <w:pStyle w:val="Body A A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Data Breach Policy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tabs>
          <w:tab w:val="left" w:pos="362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1.</w:t>
        <w:tab/>
        <w:t xml:space="preserve">When there is a personal data breach,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as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 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nformation Commissioners Office (I</w:t>
      </w:r>
      <w:r>
        <w:rPr>
          <w:rFonts w:ascii="Calibri" w:cs="Calibri" w:hAnsi="Calibri" w:eastAsia="Calibri"/>
          <w:sz w:val="24"/>
          <w:szCs w:val="24"/>
          <w:rtl w:val="0"/>
        </w:rPr>
        <w:t>CO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)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advises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, I will</w:t>
      </w:r>
      <w:r>
        <w:rPr>
          <w:rFonts w:ascii="Calibri" w:cs="Calibri" w:hAnsi="Calibri" w:eastAsia="Calibri"/>
          <w:sz w:val="24"/>
          <w:szCs w:val="24"/>
          <w:rtl w:val="0"/>
        </w:rPr>
        <w:t>: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ind w:left="2160" w:firstLine="720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Tell it all. Tell it fast. Tell the truth.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 designated data protection lead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(Dr Laura Shepherd)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is responsible for handling personal data breaches. In particular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, she will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evaluate what the breach is and how it occurred, and the associated risk to data subjects and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 company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.</w:t>
      </w:r>
    </w:p>
    <w:p>
      <w:pPr>
        <w:pStyle w:val="Body"/>
        <w:ind w:left="362" w:hanging="362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If there is a risk to data subjects, the breach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will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be reported to the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ICO with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in 72 hours. If the report is late, an explanation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will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be given as to why.</w:t>
      </w:r>
    </w:p>
    <w:p>
      <w:pPr>
        <w:pStyle w:val="Body"/>
        <w:ind w:left="362" w:hanging="362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Where the risk to data subjects is high, the breach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will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be reported to them individually if at all possible. If there is a large number of data subjects at risk, it may not be logistically possible to do so, in which case a press release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will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be given and notification provided on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 company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website.</w:t>
      </w:r>
    </w:p>
    <w:p>
      <w:pPr>
        <w:pStyle w:val="Body"/>
        <w:ind w:left="362" w:hanging="362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Encryption of personal data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will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likely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significantly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reduce the risk to data subjects following a breach, and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encrypt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all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personal data such as identification records and medical and health records.</w:t>
      </w:r>
    </w:p>
    <w:p>
      <w:pPr>
        <w:pStyle w:val="Body"/>
        <w:ind w:left="362" w:hanging="362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The ICO will want to know how the breach occurred, what steps are being taken to reduce the risk, and how a similar breach is to be avoided in future. The initial report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will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contain no more than a summary of the position. The data protection lead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will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seek authority to obtain legal advice before submitting the initial and any subsequent reports.</w:t>
      </w:r>
    </w:p>
    <w:p>
      <w:pPr>
        <w:pStyle w:val="Body"/>
        <w:ind w:left="362" w:hanging="362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A thorough investigation and corrective action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will be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necessary so as to reduce the risks to data subjects arising out of any breach, and to make sure that something similar does not happen again in future.</w:t>
      </w:r>
    </w:p>
    <w:p>
      <w:pPr>
        <w:pStyle w:val="Body"/>
        <w:ind w:left="362" w:hanging="362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Where a breach of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 company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computer systems is suspected, the data protection lead will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gain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the support of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 company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s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IT provider in order to identify the nature of any breach of computer systems.</w:t>
      </w:r>
    </w:p>
    <w:p>
      <w:pPr>
        <w:pStyle w:val="Body"/>
        <w:ind w:left="362" w:hanging="362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 theft of data, whether as a result of shortcomings in the physical security arrangements on the premises, or the hacking and penetration of computer systems,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will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be reported immediately to the police.</w:t>
      </w:r>
    </w:p>
    <w:p>
      <w:pPr>
        <w:pStyle w:val="Body"/>
        <w:ind w:left="362" w:hanging="362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The breach, investigation and corrective actions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will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be documented and filed on the data protection risk register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, as will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 report made to the ICO.</w:t>
      </w:r>
    </w:p>
    <w:p>
      <w:pPr>
        <w:pStyle w:val="Body"/>
        <w:ind w:left="362" w:hanging="362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All personal data breaches, however minor, and whether reportable or not,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will be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recorded in the data protection risk register, held by the data protection lead.</w:t>
      </w:r>
    </w:p>
    <w:p>
      <w:pPr>
        <w:pStyle w:val="Body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627" w:right="1440" w:bottom="1440" w:left="1440" w:header="720" w:footer="35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2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2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2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